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01" w:rsidRPr="00FC42E9" w:rsidRDefault="00FC42E9" w:rsidP="000D6801">
      <w:pPr>
        <w:spacing w:after="0" w:line="240" w:lineRule="auto"/>
        <w:jc w:val="center"/>
        <w:rPr>
          <w:rFonts w:ascii="Times New Roman" w:hAnsi="Times New Roman"/>
          <w:b/>
          <w:lang w:val="en-US"/>
        </w:rPr>
      </w:pPr>
      <w:r w:rsidRPr="00FC42E9">
        <w:rPr>
          <w:rFonts w:ascii="Times New Roman" w:hAnsi="Times New Roman"/>
          <w:b/>
          <w:lang w:val="en-US"/>
        </w:rPr>
        <w:t>The requirements of the Bank to Appraisers (Individual Entrepreneurs):</w:t>
      </w:r>
    </w:p>
    <w:p w:rsidR="000D6801" w:rsidRPr="00FC42E9" w:rsidRDefault="000D6801" w:rsidP="000D6801">
      <w:pPr>
        <w:spacing w:after="0" w:line="240" w:lineRule="auto"/>
        <w:rPr>
          <w:rFonts w:ascii="Times New Roman" w:hAnsi="Times New Roman"/>
          <w:lang w:val="en-US"/>
        </w:rPr>
      </w:pPr>
    </w:p>
    <w:p w:rsidR="00FC42E9"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state registration of the appraiser as an individual entrepreneur, availability of a seal;</w:t>
      </w:r>
    </w:p>
    <w:p w:rsidR="00FC42E9"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at least 3 (three) years of work experience in the field of valuation activities;</w:t>
      </w:r>
    </w:p>
    <w:p w:rsidR="00FC42E9"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qualification "appraiser" in respect of immovable property, movable property, intellectual property, intangible assets, business valuation and business participation rights (in aggregate);</w:t>
      </w:r>
    </w:p>
    <w:p w:rsidR="00FC42E9"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at the time of consideration of inclusion of the appraiser in the List, the appraiser must not have a suspended certificate of qualification "appraiser", according to the data of the Internet resource (registers) of the relevant chamber of appraisers;</w:t>
      </w:r>
    </w:p>
    <w:p w:rsidR="00FC42E9"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membership in one of the chambers of appraisers of the Republic of Kazakhstan in accordance with the procedure and on the terms determined in accordance with the legislation of the Republic of Kazakhstan;</w:t>
      </w:r>
    </w:p>
    <w:p w:rsidR="00FC42E9"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insurance of civil liability of the appraiser for professional activities for the amount of not less than 5,000 (five thousand) monthly calculation indices per insured event;</w:t>
      </w:r>
    </w:p>
    <w:p w:rsidR="00FC42E9"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absence of court decisions on unqualified appraisal by an appraiser/appraisal company, including an appraiser who has concluded an employment contract with it, in respect of whom a court decision has been made, for the last 3 (three) years;</w:t>
      </w:r>
    </w:p>
    <w:p w:rsidR="00962CCE" w:rsidRPr="00FC42E9" w:rsidRDefault="00FC42E9" w:rsidP="00FC42E9">
      <w:pPr>
        <w:pStyle w:val="a5"/>
        <w:numPr>
          <w:ilvl w:val="0"/>
          <w:numId w:val="2"/>
        </w:numPr>
        <w:tabs>
          <w:tab w:val="left" w:pos="1134"/>
        </w:tabs>
        <w:spacing w:after="0" w:line="240" w:lineRule="auto"/>
        <w:ind w:left="0" w:firstLine="720"/>
        <w:jc w:val="both"/>
        <w:rPr>
          <w:rFonts w:ascii="Times New Roman" w:hAnsi="Times New Roman"/>
          <w:lang w:val="en-US"/>
        </w:rPr>
      </w:pPr>
      <w:r w:rsidRPr="00FC42E9">
        <w:rPr>
          <w:rFonts w:ascii="Times New Roman" w:hAnsi="Times New Roman"/>
          <w:lang w:val="en-US"/>
        </w:rPr>
        <w:t>absence of decisions of the expert council of the Chamber of Appraisers, of which the appraiser is a member, on unqualified appraisal by the appraiser according to the register of members of the Chamber of Appraisers at the time of the audit;</w:t>
      </w:r>
    </w:p>
    <w:p w:rsidR="00FC42E9" w:rsidRPr="00FC42E9" w:rsidRDefault="00FC42E9" w:rsidP="00FC42E9">
      <w:pPr>
        <w:pStyle w:val="1"/>
        <w:numPr>
          <w:ilvl w:val="0"/>
          <w:numId w:val="2"/>
        </w:numPr>
        <w:tabs>
          <w:tab w:val="left" w:pos="1170"/>
        </w:tabs>
        <w:suppressAutoHyphens/>
        <w:spacing w:before="0" w:line="240" w:lineRule="auto"/>
        <w:ind w:left="0" w:firstLine="720"/>
        <w:rPr>
          <w:rFonts w:ascii="Times New Roman" w:eastAsia="Calibri" w:hAnsi="Times New Roman" w:cs="Times New Roman"/>
          <w:lang w:val="en-US"/>
        </w:rPr>
      </w:pPr>
      <w:r w:rsidRPr="00FC42E9">
        <w:rPr>
          <w:rFonts w:ascii="Times New Roman" w:eastAsia="Calibri" w:hAnsi="Times New Roman" w:cs="Times New Roman"/>
          <w:lang w:val="en-US"/>
        </w:rPr>
        <w:t>absence of the appraiser in the register of dishonest appraisers approved by the authorized body in the field of valuation activities;</w:t>
      </w:r>
    </w:p>
    <w:p w:rsidR="00FC42E9" w:rsidRPr="00FC42E9" w:rsidRDefault="00FC42E9" w:rsidP="00FC42E9">
      <w:pPr>
        <w:pStyle w:val="1"/>
        <w:numPr>
          <w:ilvl w:val="0"/>
          <w:numId w:val="2"/>
        </w:numPr>
        <w:tabs>
          <w:tab w:val="left" w:pos="1170"/>
        </w:tabs>
        <w:suppressAutoHyphens/>
        <w:spacing w:before="0" w:line="240" w:lineRule="auto"/>
        <w:ind w:left="0" w:firstLine="720"/>
        <w:rPr>
          <w:rFonts w:ascii="Times New Roman" w:eastAsia="Calibri" w:hAnsi="Times New Roman" w:cs="Times New Roman"/>
          <w:lang w:val="en-US"/>
        </w:rPr>
      </w:pPr>
      <w:r w:rsidRPr="00FC42E9">
        <w:rPr>
          <w:rFonts w:ascii="Times New Roman" w:eastAsia="Calibri" w:hAnsi="Times New Roman" w:cs="Times New Roman"/>
          <w:lang w:val="en-US"/>
        </w:rPr>
        <w:t>absence of debts, the records of which are kept by the state revenue authorities and the Ministry of Justice of the Republic of Kazakhstan (register of debtors), more than 10 (ten) monthly calculation indicators;</w:t>
      </w:r>
    </w:p>
    <w:p w:rsidR="00FC42E9" w:rsidRPr="00FC42E9" w:rsidRDefault="00FC42E9" w:rsidP="00FC42E9">
      <w:pPr>
        <w:pStyle w:val="1"/>
        <w:numPr>
          <w:ilvl w:val="0"/>
          <w:numId w:val="2"/>
        </w:numPr>
        <w:tabs>
          <w:tab w:val="left" w:pos="1170"/>
        </w:tabs>
        <w:suppressAutoHyphens/>
        <w:spacing w:before="0" w:line="240" w:lineRule="auto"/>
        <w:ind w:left="0" w:firstLine="720"/>
        <w:rPr>
          <w:rFonts w:ascii="Times New Roman" w:eastAsia="Calibri" w:hAnsi="Times New Roman" w:cs="Times New Roman"/>
          <w:lang w:val="en-US"/>
        </w:rPr>
      </w:pPr>
      <w:r w:rsidRPr="00FC42E9">
        <w:rPr>
          <w:rFonts w:ascii="Times New Roman" w:eastAsia="Calibri" w:hAnsi="Times New Roman" w:cs="Times New Roman"/>
          <w:lang w:val="en-US"/>
        </w:rPr>
        <w:t>absence of violations of obligations in respect of second-tier banks, microfinance organizations, leasing and other companies offering goods and services in installments for the last 3 (three) years;</w:t>
      </w:r>
    </w:p>
    <w:p w:rsidR="00FC42E9" w:rsidRPr="00FC42E9" w:rsidRDefault="00FC42E9" w:rsidP="00FC42E9">
      <w:pPr>
        <w:pStyle w:val="1"/>
        <w:numPr>
          <w:ilvl w:val="0"/>
          <w:numId w:val="2"/>
        </w:numPr>
        <w:tabs>
          <w:tab w:val="left" w:pos="1170"/>
        </w:tabs>
        <w:suppressAutoHyphens/>
        <w:spacing w:before="0" w:line="240" w:lineRule="auto"/>
        <w:ind w:left="0" w:firstLine="720"/>
        <w:rPr>
          <w:rFonts w:ascii="Times New Roman" w:eastAsia="Calibri" w:hAnsi="Times New Roman" w:cs="Times New Roman"/>
        </w:rPr>
      </w:pPr>
      <w:proofErr w:type="spellStart"/>
      <w:r w:rsidRPr="00FC42E9">
        <w:rPr>
          <w:rFonts w:ascii="Times New Roman" w:eastAsia="Calibri" w:hAnsi="Times New Roman" w:cs="Times New Roman"/>
        </w:rPr>
        <w:t>absence</w:t>
      </w:r>
      <w:proofErr w:type="spellEnd"/>
      <w:r w:rsidRPr="00FC42E9">
        <w:rPr>
          <w:rFonts w:ascii="Times New Roman" w:eastAsia="Calibri" w:hAnsi="Times New Roman" w:cs="Times New Roman"/>
        </w:rPr>
        <w:t xml:space="preserve"> </w:t>
      </w:r>
      <w:proofErr w:type="spellStart"/>
      <w:r w:rsidRPr="00FC42E9">
        <w:rPr>
          <w:rFonts w:ascii="Times New Roman" w:eastAsia="Calibri" w:hAnsi="Times New Roman" w:cs="Times New Roman"/>
        </w:rPr>
        <w:t>of</w:t>
      </w:r>
      <w:proofErr w:type="spellEnd"/>
      <w:r w:rsidRPr="00FC42E9">
        <w:rPr>
          <w:rFonts w:ascii="Times New Roman" w:eastAsia="Calibri" w:hAnsi="Times New Roman" w:cs="Times New Roman"/>
        </w:rPr>
        <w:t xml:space="preserve"> </w:t>
      </w:r>
      <w:proofErr w:type="spellStart"/>
      <w:r w:rsidRPr="00FC42E9">
        <w:rPr>
          <w:rFonts w:ascii="Times New Roman" w:eastAsia="Calibri" w:hAnsi="Times New Roman" w:cs="Times New Roman"/>
        </w:rPr>
        <w:t>criminal</w:t>
      </w:r>
      <w:proofErr w:type="spellEnd"/>
      <w:r w:rsidRPr="00FC42E9">
        <w:rPr>
          <w:rFonts w:ascii="Times New Roman" w:eastAsia="Calibri" w:hAnsi="Times New Roman" w:cs="Times New Roman"/>
        </w:rPr>
        <w:t xml:space="preserve"> </w:t>
      </w:r>
      <w:proofErr w:type="spellStart"/>
      <w:r w:rsidRPr="00FC42E9">
        <w:rPr>
          <w:rFonts w:ascii="Times New Roman" w:eastAsia="Calibri" w:hAnsi="Times New Roman" w:cs="Times New Roman"/>
        </w:rPr>
        <w:t>record</w:t>
      </w:r>
      <w:proofErr w:type="spellEnd"/>
      <w:r w:rsidRPr="00FC42E9">
        <w:rPr>
          <w:rFonts w:ascii="Times New Roman" w:eastAsia="Calibri" w:hAnsi="Times New Roman" w:cs="Times New Roman"/>
        </w:rPr>
        <w:t>;</w:t>
      </w:r>
    </w:p>
    <w:p w:rsidR="00FC42E9" w:rsidRPr="00FC42E9" w:rsidRDefault="00FC42E9" w:rsidP="00FC42E9">
      <w:pPr>
        <w:pStyle w:val="1"/>
        <w:numPr>
          <w:ilvl w:val="0"/>
          <w:numId w:val="2"/>
        </w:numPr>
        <w:tabs>
          <w:tab w:val="left" w:pos="1170"/>
        </w:tabs>
        <w:suppressAutoHyphens/>
        <w:spacing w:before="0" w:line="240" w:lineRule="auto"/>
        <w:ind w:left="0" w:firstLine="720"/>
        <w:rPr>
          <w:rFonts w:ascii="Times New Roman" w:eastAsia="Calibri" w:hAnsi="Times New Roman" w:cs="Times New Roman"/>
          <w:lang w:val="en-US"/>
        </w:rPr>
      </w:pPr>
      <w:r w:rsidRPr="00FC42E9">
        <w:rPr>
          <w:rFonts w:ascii="Times New Roman" w:eastAsia="Calibri" w:hAnsi="Times New Roman" w:cs="Times New Roman"/>
          <w:lang w:val="en-US"/>
        </w:rPr>
        <w:t xml:space="preserve">absence of information on the records of the Committee on Legal Statistics and Special Records of the General Prosecutor's Office of the Republic of Kazakhstan on the commission by a person of an administrative </w:t>
      </w:r>
      <w:bookmarkStart w:id="0" w:name="_GoBack"/>
      <w:bookmarkEnd w:id="0"/>
      <w:r w:rsidRPr="00FC42E9">
        <w:rPr>
          <w:rFonts w:ascii="Times New Roman" w:eastAsia="Calibri" w:hAnsi="Times New Roman" w:cs="Times New Roman"/>
          <w:lang w:val="en-US"/>
        </w:rPr>
        <w:t>offense resulting in deprivation of special rights; deprivation of permission or suspension of its validity, as well as exclusion from the register; suspension or prohibition of activities; administrative arrest;</w:t>
      </w:r>
    </w:p>
    <w:p w:rsidR="00FC42E9" w:rsidRPr="00FC42E9" w:rsidRDefault="00FC42E9" w:rsidP="00FC42E9">
      <w:pPr>
        <w:pStyle w:val="1"/>
        <w:numPr>
          <w:ilvl w:val="0"/>
          <w:numId w:val="2"/>
        </w:numPr>
        <w:tabs>
          <w:tab w:val="left" w:pos="1170"/>
        </w:tabs>
        <w:suppressAutoHyphens/>
        <w:spacing w:before="0" w:line="240" w:lineRule="auto"/>
        <w:ind w:left="0" w:firstLine="720"/>
        <w:rPr>
          <w:rFonts w:ascii="Times New Roman" w:eastAsia="Calibri" w:hAnsi="Times New Roman" w:cs="Times New Roman"/>
          <w:lang w:val="en-US"/>
        </w:rPr>
      </w:pPr>
      <w:r w:rsidRPr="00FC42E9">
        <w:rPr>
          <w:rFonts w:ascii="Times New Roman" w:eastAsia="Calibri" w:hAnsi="Times New Roman" w:cs="Times New Roman"/>
          <w:lang w:val="en-US"/>
        </w:rPr>
        <w:t>absence of affiliation of the appraiser with the Bank;</w:t>
      </w:r>
    </w:p>
    <w:p w:rsidR="00962CCE" w:rsidRPr="00FC42E9" w:rsidRDefault="00FC42E9" w:rsidP="00FC42E9">
      <w:pPr>
        <w:pStyle w:val="1"/>
        <w:numPr>
          <w:ilvl w:val="0"/>
          <w:numId w:val="2"/>
        </w:numPr>
        <w:shd w:val="clear" w:color="auto" w:fill="auto"/>
        <w:tabs>
          <w:tab w:val="left" w:pos="1170"/>
        </w:tabs>
        <w:suppressAutoHyphens/>
        <w:spacing w:before="0" w:line="240" w:lineRule="auto"/>
        <w:ind w:left="0" w:firstLine="720"/>
        <w:rPr>
          <w:rFonts w:ascii="Times New Roman" w:eastAsia="Times New Roman" w:hAnsi="Times New Roman" w:cs="Times New Roman"/>
          <w:lang w:val="en-US"/>
        </w:rPr>
      </w:pPr>
      <w:r w:rsidRPr="00FC42E9">
        <w:rPr>
          <w:rFonts w:ascii="Times New Roman" w:eastAsia="Calibri" w:hAnsi="Times New Roman" w:cs="Times New Roman"/>
          <w:lang w:val="en-US"/>
        </w:rPr>
        <w:t>consent to collection and processing of personal data.</w:t>
      </w:r>
    </w:p>
    <w:p w:rsidR="008F1D3A" w:rsidRPr="00FC42E9" w:rsidRDefault="00FC42E9" w:rsidP="00962CCE">
      <w:pPr>
        <w:tabs>
          <w:tab w:val="left" w:pos="665"/>
          <w:tab w:val="left" w:pos="1134"/>
        </w:tabs>
        <w:spacing w:after="0" w:line="240" w:lineRule="auto"/>
        <w:jc w:val="both"/>
        <w:rPr>
          <w:lang w:val="en-US"/>
        </w:rPr>
      </w:pPr>
    </w:p>
    <w:sectPr w:rsidR="008F1D3A" w:rsidRPr="00FC4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07E28"/>
    <w:multiLevelType w:val="hybridMultilevel"/>
    <w:tmpl w:val="3D10F9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292887"/>
    <w:multiLevelType w:val="hybridMultilevel"/>
    <w:tmpl w:val="F356EC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01"/>
    <w:rsid w:val="000D6801"/>
    <w:rsid w:val="00552DF3"/>
    <w:rsid w:val="00962CCE"/>
    <w:rsid w:val="00AA2621"/>
    <w:rsid w:val="00FC4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A9580-FDB2-49CB-B707-D97406A6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D68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link w:val="1"/>
    <w:rsid w:val="000D6801"/>
    <w:rPr>
      <w:rFonts w:ascii="Sylfaen" w:eastAsia="Sylfaen" w:hAnsi="Sylfaen" w:cs="Sylfaen"/>
      <w:shd w:val="clear" w:color="auto" w:fill="FFFFFF"/>
    </w:rPr>
  </w:style>
  <w:style w:type="paragraph" w:customStyle="1" w:styleId="1">
    <w:name w:val="Основной текст1"/>
    <w:basedOn w:val="a"/>
    <w:link w:val="a4"/>
    <w:rsid w:val="000D6801"/>
    <w:pPr>
      <w:widowControl w:val="0"/>
      <w:shd w:val="clear" w:color="auto" w:fill="FFFFFF"/>
      <w:spacing w:before="300" w:after="0" w:line="254" w:lineRule="exact"/>
      <w:jc w:val="both"/>
    </w:pPr>
    <w:rPr>
      <w:rFonts w:ascii="Sylfaen" w:eastAsia="Sylfaen" w:hAnsi="Sylfaen" w:cs="Sylfaen"/>
    </w:rPr>
  </w:style>
  <w:style w:type="paragraph" w:styleId="a5">
    <w:name w:val="List Paragraph"/>
    <w:basedOn w:val="a"/>
    <w:link w:val="a6"/>
    <w:uiPriority w:val="34"/>
    <w:qFormat/>
    <w:rsid w:val="000D6801"/>
    <w:pPr>
      <w:ind w:left="720"/>
      <w:contextualSpacing/>
    </w:pPr>
  </w:style>
  <w:style w:type="character" w:customStyle="1" w:styleId="a6">
    <w:name w:val="Абзац списка Знак"/>
    <w:link w:val="a5"/>
    <w:uiPriority w:val="34"/>
    <w:locked/>
    <w:rsid w:val="000D68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Сатинова Кымбат Бекмагамбетовна</dc:creator>
  <cp:keywords/>
  <dc:description/>
  <cp:lastModifiedBy>RePack by Diakov</cp:lastModifiedBy>
  <cp:revision>4</cp:revision>
  <dcterms:created xsi:type="dcterms:W3CDTF">2024-02-05T04:05:00Z</dcterms:created>
  <dcterms:modified xsi:type="dcterms:W3CDTF">2024-02-07T19:25:00Z</dcterms:modified>
</cp:coreProperties>
</file>